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5" w:rsidRDefault="00AC45A5">
      <w:pPr>
        <w:rPr>
          <w:rFonts w:ascii="Verdana" w:hAnsi="Verdana"/>
          <w:bCs/>
        </w:rPr>
      </w:pPr>
      <w:bookmarkStart w:id="0" w:name="_GoBack"/>
      <w:bookmarkEnd w:id="0"/>
      <w:r>
        <w:rPr>
          <w:rFonts w:ascii="Verdana" w:hAnsi="Verdana"/>
          <w:bCs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3927580" wp14:editId="04B28C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72910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/>
          <w:bCs/>
          <w:sz w:val="48"/>
          <w:szCs w:val="48"/>
        </w:rPr>
      </w:pPr>
      <w:r w:rsidRPr="00AC45A5">
        <w:rPr>
          <w:rFonts w:ascii="Verdana" w:hAnsi="Verdana"/>
          <w:b/>
          <w:bCs/>
          <w:sz w:val="48"/>
          <w:szCs w:val="48"/>
        </w:rPr>
        <w:t xml:space="preserve">Reglement </w:t>
      </w:r>
    </w:p>
    <w:p w:rsidR="00AC45A5" w:rsidRDefault="00AC45A5">
      <w:pPr>
        <w:rPr>
          <w:rFonts w:ascii="Verdana" w:hAnsi="Verdana"/>
          <w:b/>
          <w:bCs/>
          <w:sz w:val="48"/>
          <w:szCs w:val="48"/>
        </w:rPr>
      </w:pPr>
      <w:r w:rsidRPr="00AC45A5">
        <w:rPr>
          <w:rFonts w:ascii="Verdana" w:hAnsi="Verdana"/>
          <w:b/>
          <w:bCs/>
          <w:sz w:val="48"/>
          <w:szCs w:val="48"/>
        </w:rPr>
        <w:t>Jubilea</w:t>
      </w:r>
    </w:p>
    <w:p w:rsidR="00AD1837" w:rsidRPr="00AC45A5" w:rsidRDefault="00AD1837">
      <w:pPr>
        <w:rPr>
          <w:rFonts w:ascii="Verdana" w:hAnsi="Verdana"/>
          <w:b/>
          <w:bCs/>
          <w:sz w:val="48"/>
          <w:szCs w:val="48"/>
        </w:rPr>
      </w:pPr>
      <w:proofErr w:type="gramStart"/>
      <w:r>
        <w:rPr>
          <w:rFonts w:ascii="Verdana" w:hAnsi="Verdana"/>
          <w:b/>
          <w:bCs/>
          <w:sz w:val="48"/>
          <w:szCs w:val="48"/>
        </w:rPr>
        <w:t>Ingaande</w:t>
      </w:r>
      <w:proofErr w:type="gramEnd"/>
      <w:r>
        <w:rPr>
          <w:rFonts w:ascii="Verdana" w:hAnsi="Verdana"/>
          <w:b/>
          <w:bCs/>
          <w:sz w:val="48"/>
          <w:szCs w:val="48"/>
        </w:rPr>
        <w:t xml:space="preserve"> </w:t>
      </w:r>
      <w:r w:rsidR="007E71B4" w:rsidRPr="00D40380">
        <w:rPr>
          <w:rFonts w:ascii="Verdana" w:hAnsi="Verdana"/>
          <w:b/>
          <w:bCs/>
          <w:sz w:val="48"/>
          <w:szCs w:val="48"/>
        </w:rPr>
        <w:t>juli</w:t>
      </w:r>
      <w:r w:rsidRPr="00D40380">
        <w:rPr>
          <w:rFonts w:ascii="Verdana" w:hAnsi="Verdana"/>
          <w:b/>
          <w:bCs/>
          <w:sz w:val="48"/>
          <w:szCs w:val="48"/>
        </w:rPr>
        <w:t xml:space="preserve"> 201</w:t>
      </w:r>
      <w:r w:rsidR="007E71B4" w:rsidRPr="00D40380">
        <w:rPr>
          <w:rFonts w:ascii="Verdana" w:hAnsi="Verdana"/>
          <w:b/>
          <w:bCs/>
          <w:sz w:val="48"/>
          <w:szCs w:val="48"/>
        </w:rPr>
        <w:t>9</w:t>
      </w: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</w:p>
    <w:p w:rsidR="00AC45A5" w:rsidRDefault="00AC45A5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:rsidR="00D40380" w:rsidRDefault="00D40380" w:rsidP="00E56174">
      <w:pPr>
        <w:contextualSpacing/>
        <w:rPr>
          <w:rFonts w:ascii="Verdana" w:hAnsi="Verdana"/>
          <w:bCs/>
        </w:rPr>
      </w:pPr>
    </w:p>
    <w:p w:rsidR="00D40380" w:rsidRPr="00E5716D" w:rsidRDefault="00D40380" w:rsidP="00D40380">
      <w:pPr>
        <w:contextualSpacing/>
        <w:rPr>
          <w:rFonts w:eastAsia="Calibri"/>
          <w:bCs/>
        </w:rPr>
      </w:pPr>
      <w:r w:rsidRPr="00E5716D">
        <w:rPr>
          <w:rFonts w:eastAsia="Calibri"/>
          <w:bCs/>
        </w:rPr>
        <w:t xml:space="preserve">Versie </w:t>
      </w:r>
      <w:r w:rsidRPr="00E5716D">
        <w:rPr>
          <w:rFonts w:eastAsia="Calibri"/>
          <w:b/>
          <w:bCs/>
        </w:rPr>
        <w:t>28 januari 2019</w:t>
      </w:r>
    </w:p>
    <w:p w:rsidR="00D40380" w:rsidRPr="00E5716D" w:rsidRDefault="00D40380" w:rsidP="00D40380">
      <w:pPr>
        <w:contextualSpacing/>
        <w:rPr>
          <w:rFonts w:eastAsia="Calibri"/>
          <w:bCs/>
        </w:rPr>
      </w:pPr>
      <w:r w:rsidRPr="00E5716D">
        <w:rPr>
          <w:rFonts w:eastAsia="Calibri"/>
          <w:bCs/>
        </w:rPr>
        <w:t xml:space="preserve">Ingaand </w:t>
      </w:r>
      <w:r w:rsidRPr="00E5716D">
        <w:rPr>
          <w:rFonts w:eastAsia="Calibri"/>
          <w:b/>
          <w:bCs/>
        </w:rPr>
        <w:t>1 juli 2019</w:t>
      </w:r>
      <w:r w:rsidRPr="00E5716D">
        <w:rPr>
          <w:rFonts w:eastAsia="Calibri"/>
          <w:bCs/>
        </w:rPr>
        <w:t xml:space="preserve">, goedgekeurd door het Dagelijks Bestuur </w:t>
      </w:r>
      <w:r w:rsidRPr="00E5716D">
        <w:rPr>
          <w:rFonts w:eastAsia="Calibri"/>
          <w:b/>
          <w:bCs/>
        </w:rPr>
        <w:t>in januari 2019</w:t>
      </w:r>
      <w:r w:rsidRPr="00E5716D">
        <w:rPr>
          <w:rFonts w:eastAsia="Calibri"/>
          <w:bCs/>
        </w:rPr>
        <w:t>.</w:t>
      </w:r>
    </w:p>
    <w:p w:rsidR="00D40380" w:rsidRPr="00E5716D" w:rsidRDefault="00D40380" w:rsidP="00D40380">
      <w:pPr>
        <w:contextualSpacing/>
        <w:rPr>
          <w:rFonts w:eastAsia="Calibri"/>
        </w:rPr>
      </w:pPr>
    </w:p>
    <w:p w:rsidR="00D40380" w:rsidRPr="00E5716D" w:rsidRDefault="00D40380" w:rsidP="00D40380">
      <w:pPr>
        <w:contextualSpacing/>
        <w:rPr>
          <w:rFonts w:eastAsia="Calibri"/>
        </w:rPr>
      </w:pPr>
      <w:r w:rsidRPr="00E5716D">
        <w:rPr>
          <w:rFonts w:eastAsia="Calibri"/>
          <w:b/>
          <w:bCs/>
        </w:rPr>
        <w:t xml:space="preserve">1   </w:t>
      </w:r>
      <w:proofErr w:type="gramStart"/>
      <w:r w:rsidRPr="00E5716D">
        <w:rPr>
          <w:rFonts w:eastAsia="Calibri"/>
          <w:b/>
          <w:bCs/>
        </w:rPr>
        <w:t xml:space="preserve">Clubjubileum </w:t>
      </w:r>
      <w:r w:rsidRPr="00E5716D">
        <w:rPr>
          <w:rFonts w:eastAsia="Calibri"/>
          <w:b/>
          <w:u w:val="single"/>
        </w:rPr>
        <w:t xml:space="preserve"> </w:t>
      </w:r>
      <w:proofErr w:type="gramEnd"/>
    </w:p>
    <w:p w:rsidR="00D40380" w:rsidRPr="00E5716D" w:rsidRDefault="00D40380" w:rsidP="00D40380">
      <w:pPr>
        <w:numPr>
          <w:ilvl w:val="0"/>
          <w:numId w:val="2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Jubilea</w:t>
      </w:r>
      <w:r w:rsidRPr="00E5716D">
        <w:rPr>
          <w:rFonts w:eastAsia="Calibri"/>
        </w:rPr>
        <w:t xml:space="preserve">: Bij een jubileum van 25 jaar, 50 jaar, en zo vervolgens oplopend met telkens </w:t>
      </w:r>
      <w:proofErr w:type="gramStart"/>
      <w:r w:rsidRPr="00E5716D">
        <w:rPr>
          <w:rFonts w:eastAsia="Calibri"/>
        </w:rPr>
        <w:t xml:space="preserve">25  </w:t>
      </w:r>
      <w:proofErr w:type="gramEnd"/>
      <w:r w:rsidRPr="00E5716D">
        <w:rPr>
          <w:rFonts w:eastAsia="Calibri"/>
        </w:rPr>
        <w:t>jaar, wordt aan de club een subsidie verleend voor h</w:t>
      </w:r>
      <w:r>
        <w:rPr>
          <w:rFonts w:eastAsia="Calibri"/>
        </w:rPr>
        <w:t>et houden van een toepasselijk evenement, dat</w:t>
      </w:r>
      <w:r w:rsidRPr="00E5716D">
        <w:rPr>
          <w:rFonts w:eastAsia="Calibri"/>
        </w:rPr>
        <w:t xml:space="preserve"> voor publiek vrij toegankelijk is. </w:t>
      </w:r>
    </w:p>
    <w:p w:rsidR="00D40380" w:rsidRPr="00E5716D" w:rsidRDefault="00D40380" w:rsidP="00D40380">
      <w:pPr>
        <w:ind w:left="720"/>
        <w:contextualSpacing/>
        <w:rPr>
          <w:rFonts w:eastAsia="Calibri"/>
        </w:rPr>
      </w:pPr>
    </w:p>
    <w:p w:rsidR="00D40380" w:rsidRPr="00E5716D" w:rsidRDefault="00D40380" w:rsidP="00D40380">
      <w:pPr>
        <w:numPr>
          <w:ilvl w:val="0"/>
          <w:numId w:val="2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Subsidie</w:t>
      </w:r>
      <w:r w:rsidRPr="00E5716D">
        <w:rPr>
          <w:rFonts w:eastAsia="Calibri"/>
        </w:rPr>
        <w:t xml:space="preserve">: De subsidie is gelijk aan de kosten van </w:t>
      </w:r>
      <w:r>
        <w:rPr>
          <w:rFonts w:eastAsia="Calibri"/>
        </w:rPr>
        <w:t>het evenement</w:t>
      </w:r>
      <w:r w:rsidRPr="00E5716D">
        <w:rPr>
          <w:rFonts w:eastAsia="Calibri"/>
        </w:rPr>
        <w:t>, met een maximum van € 150 bij een jubileum van 25 jaar, € 300 bij een jubileum van 50 en 75 jaar en € 400 daarboven. De subsidie wordt overgemaakt aan de club.</w:t>
      </w:r>
    </w:p>
    <w:p w:rsidR="00D40380" w:rsidRPr="00E5716D" w:rsidRDefault="00D40380" w:rsidP="00D40380">
      <w:pPr>
        <w:ind w:left="720"/>
        <w:contextualSpacing/>
        <w:rPr>
          <w:rFonts w:eastAsia="Calibri"/>
        </w:rPr>
      </w:pPr>
    </w:p>
    <w:p w:rsidR="00D40380" w:rsidRPr="00E5716D" w:rsidRDefault="00D40380" w:rsidP="00D40380">
      <w:pPr>
        <w:numPr>
          <w:ilvl w:val="0"/>
          <w:numId w:val="2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Aanvraag</w:t>
      </w:r>
      <w:r w:rsidRPr="00E5716D">
        <w:rPr>
          <w:rFonts w:eastAsia="Calibri"/>
        </w:rPr>
        <w:t xml:space="preserve">: De aanvraag, voorzien van een begroting van de kosten van </w:t>
      </w:r>
      <w:r>
        <w:rPr>
          <w:rFonts w:eastAsia="Calibri"/>
        </w:rPr>
        <w:t>het evenement</w:t>
      </w:r>
      <w:r w:rsidRPr="00E5716D">
        <w:rPr>
          <w:rFonts w:eastAsia="Calibri"/>
        </w:rPr>
        <w:t xml:space="preserve">, wordt door de club ingediend bij de </w:t>
      </w:r>
      <w:proofErr w:type="gramStart"/>
      <w:r w:rsidRPr="00E5716D">
        <w:rPr>
          <w:rFonts w:eastAsia="Calibri"/>
        </w:rPr>
        <w:t>algemeen</w:t>
      </w:r>
      <w:proofErr w:type="gramEnd"/>
      <w:r w:rsidRPr="00E5716D">
        <w:rPr>
          <w:rFonts w:eastAsia="Calibri"/>
        </w:rPr>
        <w:t xml:space="preserve"> secretaris van de Fotobond met een kopie of cc aan de afdeling. Hierbij wordt gebruik gemaakt van het in bijlage 1 </w:t>
      </w:r>
      <w:proofErr w:type="gramStart"/>
      <w:r w:rsidRPr="00E5716D">
        <w:rPr>
          <w:rFonts w:eastAsia="Calibri"/>
        </w:rPr>
        <w:t>genoemde</w:t>
      </w:r>
      <w:proofErr w:type="gramEnd"/>
      <w:r w:rsidRPr="00E5716D">
        <w:rPr>
          <w:rFonts w:eastAsia="Calibri"/>
        </w:rPr>
        <w:t xml:space="preserve"> formulier.</w:t>
      </w:r>
      <w:r w:rsidRPr="00E5716D">
        <w:rPr>
          <w:rFonts w:eastAsia="Calibri"/>
          <w:b/>
        </w:rPr>
        <w:t xml:space="preserve"> </w:t>
      </w:r>
      <w:r w:rsidRPr="00E5716D">
        <w:rPr>
          <w:rFonts w:eastAsia="Calibri"/>
          <w:b/>
          <w:color w:val="FF0000"/>
        </w:rPr>
        <w:br/>
      </w:r>
    </w:p>
    <w:p w:rsidR="00D40380" w:rsidRPr="00E5716D" w:rsidRDefault="00D40380" w:rsidP="00D40380">
      <w:pPr>
        <w:numPr>
          <w:ilvl w:val="0"/>
          <w:numId w:val="2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Uitreiking</w:t>
      </w:r>
      <w:r w:rsidRPr="00E5716D">
        <w:rPr>
          <w:rFonts w:eastAsia="Calibri"/>
        </w:rPr>
        <w:t>: De symbolische uitreiking van de subsidie geschiedt door het afdelingsbestuur bij een jub</w:t>
      </w:r>
      <w:r w:rsidRPr="00E5716D">
        <w:rPr>
          <w:rFonts w:eastAsia="Calibri"/>
        </w:rPr>
        <w:t>i</w:t>
      </w:r>
      <w:r w:rsidRPr="00E5716D">
        <w:rPr>
          <w:rFonts w:eastAsia="Calibri"/>
        </w:rPr>
        <w:t xml:space="preserve">leum tot en met 50 jaar (de </w:t>
      </w:r>
      <w:proofErr w:type="gramStart"/>
      <w:r w:rsidRPr="00E5716D">
        <w:rPr>
          <w:rFonts w:eastAsia="Calibri"/>
        </w:rPr>
        <w:t>algemeen</w:t>
      </w:r>
      <w:proofErr w:type="gramEnd"/>
      <w:r w:rsidRPr="00E5716D">
        <w:rPr>
          <w:rFonts w:eastAsia="Calibri"/>
        </w:rPr>
        <w:t xml:space="preserve"> penningmeester informeert het afdelingsbestuur daarover) of door een lid van het dagelijks bestuur bij een jubileum van 75 jaar of meer.</w:t>
      </w:r>
    </w:p>
    <w:p w:rsidR="00D40380" w:rsidRPr="00E5716D" w:rsidRDefault="00D40380" w:rsidP="00D40380">
      <w:pPr>
        <w:contextualSpacing/>
        <w:rPr>
          <w:rFonts w:eastAsia="Calibri"/>
        </w:rPr>
      </w:pPr>
    </w:p>
    <w:p w:rsidR="00D40380" w:rsidRPr="00E5716D" w:rsidRDefault="00D40380" w:rsidP="00D40380">
      <w:pPr>
        <w:contextualSpacing/>
        <w:rPr>
          <w:rFonts w:eastAsia="Calibri"/>
        </w:rPr>
      </w:pPr>
      <w:proofErr w:type="gramStart"/>
      <w:r w:rsidRPr="00E5716D">
        <w:rPr>
          <w:rFonts w:eastAsia="Calibri"/>
          <w:b/>
          <w:bCs/>
        </w:rPr>
        <w:t xml:space="preserve">2   </w:t>
      </w:r>
      <w:proofErr w:type="gramEnd"/>
      <w:r w:rsidRPr="00E5716D">
        <w:rPr>
          <w:rFonts w:eastAsia="Calibri"/>
          <w:b/>
          <w:bCs/>
        </w:rPr>
        <w:t>Jubileum van een clublid of persoonlijk lid</w:t>
      </w:r>
      <w:r w:rsidRPr="00E5716D">
        <w:rPr>
          <w:rFonts w:eastAsia="Calibri"/>
        </w:rPr>
        <w:t xml:space="preserve"> </w:t>
      </w:r>
    </w:p>
    <w:p w:rsidR="00D40380" w:rsidRPr="00E5716D" w:rsidRDefault="00D40380" w:rsidP="00D40380">
      <w:pPr>
        <w:numPr>
          <w:ilvl w:val="0"/>
          <w:numId w:val="3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Jubilea</w:t>
      </w:r>
      <w:r w:rsidRPr="00E5716D">
        <w:rPr>
          <w:rFonts w:eastAsia="Calibri"/>
        </w:rPr>
        <w:t xml:space="preserve">: Aan leden die gedurende 25, 40 of 50 jaar (en daarboven elke 5 jaar) lid zijn van de Fotobond kan door de afdeling of het dagelijks bestuur een oorkonde en een insigne in </w:t>
      </w:r>
      <w:proofErr w:type="gramStart"/>
      <w:r w:rsidRPr="00E5716D">
        <w:rPr>
          <w:rFonts w:eastAsia="Calibri"/>
        </w:rPr>
        <w:t>respectievelijk</w:t>
      </w:r>
      <w:proofErr w:type="gramEnd"/>
      <w:r w:rsidRPr="00E5716D">
        <w:rPr>
          <w:rFonts w:eastAsia="Calibri"/>
        </w:rPr>
        <w:t xml:space="preserve"> brons, zi</w:t>
      </w:r>
      <w:r w:rsidRPr="00E5716D">
        <w:rPr>
          <w:rFonts w:eastAsia="Calibri"/>
        </w:rPr>
        <w:t>l</w:t>
      </w:r>
      <w:r w:rsidRPr="00E5716D">
        <w:rPr>
          <w:rFonts w:eastAsia="Calibri"/>
        </w:rPr>
        <w:t>ver en goud</w:t>
      </w:r>
      <w:r w:rsidRPr="00E5716D">
        <w:rPr>
          <w:rFonts w:eastAsia="Calibri"/>
          <w:color w:val="FF0000"/>
        </w:rPr>
        <w:t xml:space="preserve"> </w:t>
      </w:r>
      <w:r w:rsidRPr="00E5716D">
        <w:rPr>
          <w:rFonts w:eastAsia="Calibri"/>
        </w:rPr>
        <w:t xml:space="preserve">worden toegekend conform de regels hierna. </w:t>
      </w:r>
    </w:p>
    <w:p w:rsidR="00D40380" w:rsidRPr="00E5716D" w:rsidRDefault="00D40380" w:rsidP="00D40380">
      <w:pPr>
        <w:ind w:left="720"/>
        <w:contextualSpacing/>
        <w:rPr>
          <w:rFonts w:eastAsia="Calibri"/>
        </w:rPr>
      </w:pPr>
    </w:p>
    <w:p w:rsidR="00D40380" w:rsidRPr="00E5716D" w:rsidRDefault="00D40380" w:rsidP="00D40380">
      <w:pPr>
        <w:numPr>
          <w:ilvl w:val="0"/>
          <w:numId w:val="3"/>
        </w:numPr>
        <w:contextualSpacing/>
        <w:rPr>
          <w:rFonts w:eastAsia="Calibri"/>
          <w:strike/>
        </w:rPr>
      </w:pPr>
      <w:r w:rsidRPr="00E5716D">
        <w:rPr>
          <w:rFonts w:eastAsia="Calibri"/>
          <w:b/>
          <w:u w:val="single"/>
        </w:rPr>
        <w:t>Aanvraag</w:t>
      </w:r>
      <w:r w:rsidRPr="00E5716D">
        <w:rPr>
          <w:rFonts w:eastAsia="Calibri"/>
        </w:rPr>
        <w:t xml:space="preserve">: De aanvraag geschiedt door het clubbestuur bij de </w:t>
      </w:r>
      <w:proofErr w:type="gramStart"/>
      <w:r w:rsidRPr="00E5716D">
        <w:rPr>
          <w:rFonts w:eastAsia="Calibri"/>
        </w:rPr>
        <w:t>algemeen</w:t>
      </w:r>
      <w:proofErr w:type="gramEnd"/>
      <w:r w:rsidRPr="00E5716D">
        <w:rPr>
          <w:rFonts w:eastAsia="Calibri"/>
        </w:rPr>
        <w:t xml:space="preserve"> secretaris van de Fotobond met een kopie of cc aan de afdeling. Hierbij wordt gebruik gemaakt van het in bijlage 1 </w:t>
      </w:r>
      <w:proofErr w:type="gramStart"/>
      <w:r w:rsidRPr="00E5716D">
        <w:rPr>
          <w:rFonts w:eastAsia="Calibri"/>
        </w:rPr>
        <w:t>genoemde</w:t>
      </w:r>
      <w:proofErr w:type="gramEnd"/>
      <w:r w:rsidRPr="00E5716D">
        <w:rPr>
          <w:rFonts w:eastAsia="Calibri"/>
        </w:rPr>
        <w:t xml:space="preserve"> formulier.</w:t>
      </w:r>
    </w:p>
    <w:p w:rsidR="00D40380" w:rsidRPr="00E5716D" w:rsidRDefault="00D40380" w:rsidP="00D40380">
      <w:pPr>
        <w:ind w:left="720"/>
        <w:contextualSpacing/>
        <w:rPr>
          <w:rFonts w:eastAsia="Calibri"/>
        </w:rPr>
      </w:pPr>
    </w:p>
    <w:p w:rsidR="00D40380" w:rsidRPr="00E5716D" w:rsidRDefault="00D40380" w:rsidP="00D40380">
      <w:pPr>
        <w:numPr>
          <w:ilvl w:val="0"/>
          <w:numId w:val="3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Uitreiking tot en met 40 jaar</w:t>
      </w:r>
      <w:r w:rsidRPr="00E5716D">
        <w:rPr>
          <w:rFonts w:eastAsia="Calibri"/>
        </w:rPr>
        <w:t>: Bij een jubileum van 25 of 40 jaar bepaalt het afdelingsbestuur, in ove</w:t>
      </w:r>
      <w:r w:rsidRPr="00E5716D">
        <w:rPr>
          <w:rFonts w:eastAsia="Calibri"/>
        </w:rPr>
        <w:t>r</w:t>
      </w:r>
      <w:r w:rsidRPr="00E5716D">
        <w:rPr>
          <w:rFonts w:eastAsia="Calibri"/>
        </w:rPr>
        <w:t>leg met het clubbestuur wie de oorkonde en het insigne uitreikt</w:t>
      </w:r>
      <w:r>
        <w:rPr>
          <w:rFonts w:eastAsia="Calibri"/>
        </w:rPr>
        <w:t>.</w:t>
      </w:r>
      <w:r w:rsidRPr="00E5716D">
        <w:rPr>
          <w:rFonts w:eastAsia="Calibri"/>
        </w:rPr>
        <w:t xml:space="preserve"> Bij een jubileum van 25 jaar is het i</w:t>
      </w:r>
      <w:r w:rsidRPr="00E5716D">
        <w:rPr>
          <w:rFonts w:eastAsia="Calibri"/>
        </w:rPr>
        <w:t>n</w:t>
      </w:r>
      <w:r w:rsidRPr="00E5716D">
        <w:rPr>
          <w:rFonts w:eastAsia="Calibri"/>
        </w:rPr>
        <w:t xml:space="preserve">signe uitgevoerd in </w:t>
      </w:r>
      <w:proofErr w:type="spellStart"/>
      <w:r w:rsidRPr="00E5716D">
        <w:rPr>
          <w:rFonts w:eastAsia="Calibri"/>
        </w:rPr>
        <w:t>bronskleur</w:t>
      </w:r>
      <w:proofErr w:type="spellEnd"/>
      <w:r w:rsidRPr="00E5716D">
        <w:rPr>
          <w:rFonts w:eastAsia="Calibri"/>
        </w:rPr>
        <w:t xml:space="preserve">, bij 40 jaar in zilverkleur. </w:t>
      </w:r>
    </w:p>
    <w:p w:rsidR="00D40380" w:rsidRPr="00E5716D" w:rsidRDefault="00D40380" w:rsidP="00D40380">
      <w:pPr>
        <w:ind w:left="720"/>
        <w:contextualSpacing/>
        <w:rPr>
          <w:rFonts w:eastAsia="Calibri"/>
        </w:rPr>
      </w:pPr>
    </w:p>
    <w:p w:rsidR="00D40380" w:rsidRDefault="00D40380" w:rsidP="00D40380">
      <w:pPr>
        <w:numPr>
          <w:ilvl w:val="0"/>
          <w:numId w:val="3"/>
        </w:numPr>
        <w:contextualSpacing/>
        <w:rPr>
          <w:rFonts w:eastAsia="Calibri"/>
        </w:rPr>
      </w:pPr>
      <w:r w:rsidRPr="00E5716D">
        <w:rPr>
          <w:rFonts w:eastAsia="Calibri"/>
          <w:b/>
          <w:u w:val="single"/>
        </w:rPr>
        <w:t>Uitreiking 50 jaar of meer</w:t>
      </w:r>
      <w:r w:rsidRPr="00E5716D">
        <w:rPr>
          <w:rFonts w:eastAsia="Calibri"/>
          <w:b/>
        </w:rPr>
        <w:t>:</w:t>
      </w:r>
      <w:r w:rsidRPr="00E5716D">
        <w:rPr>
          <w:rFonts w:eastAsia="Calibri"/>
        </w:rPr>
        <w:t xml:space="preserve"> Bij een jubileum van 50 jaar en meer bepaalt het dagelijks bestuur, in ove</w:t>
      </w:r>
      <w:r w:rsidRPr="00E5716D">
        <w:rPr>
          <w:rFonts w:eastAsia="Calibri"/>
        </w:rPr>
        <w:t>r</w:t>
      </w:r>
      <w:r w:rsidRPr="00E5716D">
        <w:rPr>
          <w:rFonts w:eastAsia="Calibri"/>
        </w:rPr>
        <w:t xml:space="preserve">leg met het afdelingsbestuur, wie de oorkonde en het eventuele insigne uitreikt. </w:t>
      </w:r>
    </w:p>
    <w:p w:rsidR="00D40380" w:rsidRPr="00E5716D" w:rsidRDefault="00D40380" w:rsidP="00D40380">
      <w:pPr>
        <w:contextualSpacing/>
        <w:rPr>
          <w:rFonts w:eastAsia="Calibri"/>
        </w:rPr>
      </w:pPr>
    </w:p>
    <w:p w:rsidR="00D40380" w:rsidRPr="00E5716D" w:rsidRDefault="00D40380" w:rsidP="00D40380">
      <w:pPr>
        <w:contextualSpacing/>
        <w:rPr>
          <w:rFonts w:eastAsia="Calibri"/>
        </w:rPr>
      </w:pPr>
      <w:r w:rsidRPr="00E5716D">
        <w:rPr>
          <w:rFonts w:eastAsia="Calibri"/>
        </w:rPr>
        <w:t>In alle gevallen waarin dit reglement niet voorziet, beslist het dagelijks bestuur.</w:t>
      </w:r>
    </w:p>
    <w:p w:rsidR="00D40380" w:rsidRPr="00E5716D" w:rsidRDefault="00D40380" w:rsidP="00D40380">
      <w:pPr>
        <w:rPr>
          <w:rFonts w:eastAsia="Calibri"/>
        </w:rPr>
      </w:pPr>
    </w:p>
    <w:p w:rsidR="00D40380" w:rsidRPr="00E5716D" w:rsidRDefault="00D40380" w:rsidP="00D40380">
      <w:pPr>
        <w:rPr>
          <w:rFonts w:eastAsia="Calibri"/>
          <w:b/>
        </w:rPr>
      </w:pPr>
      <w:r w:rsidRPr="00E5716D">
        <w:rPr>
          <w:rFonts w:eastAsia="Calibri"/>
        </w:rPr>
        <w:br w:type="page"/>
      </w:r>
      <w:r w:rsidRPr="00E5716D">
        <w:rPr>
          <w:rFonts w:eastAsia="Calibri"/>
          <w:b/>
        </w:rPr>
        <w:lastRenderedPageBreak/>
        <w:t>Bijlagen:</w:t>
      </w:r>
    </w:p>
    <w:p w:rsidR="00D40380" w:rsidRPr="00E5716D" w:rsidRDefault="00D40380" w:rsidP="00D40380">
      <w:pPr>
        <w:numPr>
          <w:ilvl w:val="0"/>
          <w:numId w:val="4"/>
        </w:numPr>
        <w:contextualSpacing/>
        <w:rPr>
          <w:rFonts w:eastAsia="Calibri"/>
          <w:b/>
        </w:rPr>
      </w:pPr>
      <w:r w:rsidRPr="00E5716D">
        <w:rPr>
          <w:rFonts w:eastAsia="Calibri"/>
          <w:b/>
        </w:rPr>
        <w:t>Subsidies voor jubilea worden aangevraagd via formulier “06_Subsidieaanvraag-Jubileum”. Dit formulier is te downloaden vanaf de website.</w:t>
      </w:r>
    </w:p>
    <w:p w:rsidR="00D40380" w:rsidRPr="00E5716D" w:rsidRDefault="00D40380" w:rsidP="00D40380">
      <w:pPr>
        <w:rPr>
          <w:rFonts w:eastAsia="Calibri"/>
        </w:rPr>
      </w:pPr>
      <w:r w:rsidRPr="00E5716D">
        <w:rPr>
          <w:rFonts w:eastAsia="Calibri"/>
        </w:rPr>
        <w:t xml:space="preserve"> </w:t>
      </w:r>
    </w:p>
    <w:p w:rsidR="00D40380" w:rsidRPr="00E5716D" w:rsidRDefault="00D40380" w:rsidP="00D40380">
      <w:pPr>
        <w:rPr>
          <w:rFonts w:eastAsia="Calibri"/>
        </w:rPr>
      </w:pPr>
    </w:p>
    <w:p w:rsidR="00D40380" w:rsidRPr="00E5716D" w:rsidRDefault="00D40380" w:rsidP="00D40380">
      <w:pPr>
        <w:rPr>
          <w:rFonts w:eastAsia="Calibri"/>
          <w:b/>
          <w:bCs/>
        </w:rPr>
      </w:pPr>
    </w:p>
    <w:p w:rsidR="00D40380" w:rsidRPr="00E5716D" w:rsidRDefault="00D40380" w:rsidP="00D40380">
      <w:pPr>
        <w:contextualSpacing/>
        <w:rPr>
          <w:rFonts w:eastAsia="Calibri"/>
          <w:b/>
        </w:rPr>
      </w:pPr>
      <w:r w:rsidRPr="00E5716D">
        <w:rPr>
          <w:rFonts w:eastAsia="Calibri"/>
          <w:b/>
        </w:rPr>
        <w:t>Bijlage 2: Schematische samenvatting</w:t>
      </w:r>
    </w:p>
    <w:p w:rsidR="00D40380" w:rsidRPr="00E5716D" w:rsidRDefault="00D40380" w:rsidP="00D40380">
      <w:pPr>
        <w:contextualSpacing/>
        <w:rPr>
          <w:rFonts w:eastAsia="Calibri"/>
        </w:rPr>
      </w:pPr>
      <w:r w:rsidRPr="00E5716D">
        <w:rPr>
          <w:rFonts w:eastAsia="Calibri"/>
        </w:rPr>
        <w:br/>
      </w:r>
    </w:p>
    <w:tbl>
      <w:tblPr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2127"/>
        <w:gridCol w:w="1383"/>
      </w:tblGrid>
      <w:tr w:rsidR="00D40380" w:rsidRPr="00E5716D" w:rsidTr="00A709F8">
        <w:tc>
          <w:tcPr>
            <w:tcW w:w="1668" w:type="dxa"/>
            <w:shd w:val="pct15" w:color="auto" w:fill="auto"/>
          </w:tcPr>
          <w:p w:rsidR="00D40380" w:rsidRPr="00E5716D" w:rsidRDefault="00D40380" w:rsidP="00A709F8">
            <w:pPr>
              <w:contextualSpacing/>
              <w:rPr>
                <w:b/>
              </w:rPr>
            </w:pPr>
            <w:r w:rsidRPr="00E5716D">
              <w:rPr>
                <w:b/>
              </w:rPr>
              <w:t>Jubileum</w:t>
            </w:r>
          </w:p>
        </w:tc>
        <w:tc>
          <w:tcPr>
            <w:tcW w:w="4110" w:type="dxa"/>
            <w:shd w:val="pct15" w:color="auto" w:fill="auto"/>
          </w:tcPr>
          <w:p w:rsidR="00D40380" w:rsidRPr="00E5716D" w:rsidRDefault="00D40380" w:rsidP="00A709F8">
            <w:pPr>
              <w:contextualSpacing/>
              <w:rPr>
                <w:b/>
              </w:rPr>
            </w:pPr>
            <w:r w:rsidRPr="00E5716D">
              <w:rPr>
                <w:b/>
              </w:rPr>
              <w:t>Verstrekking</w:t>
            </w:r>
          </w:p>
        </w:tc>
        <w:tc>
          <w:tcPr>
            <w:tcW w:w="2127" w:type="dxa"/>
            <w:shd w:val="pct15" w:color="auto" w:fill="auto"/>
          </w:tcPr>
          <w:p w:rsidR="00D40380" w:rsidRPr="00E5716D" w:rsidRDefault="00D40380" w:rsidP="00A709F8">
            <w:pPr>
              <w:contextualSpacing/>
              <w:rPr>
                <w:b/>
              </w:rPr>
            </w:pPr>
            <w:r w:rsidRPr="00E5716D">
              <w:rPr>
                <w:b/>
              </w:rPr>
              <w:t>Aanvraag</w:t>
            </w:r>
          </w:p>
        </w:tc>
        <w:tc>
          <w:tcPr>
            <w:tcW w:w="1383" w:type="dxa"/>
            <w:shd w:val="pct15" w:color="auto" w:fill="auto"/>
          </w:tcPr>
          <w:p w:rsidR="00D40380" w:rsidRPr="00E5716D" w:rsidRDefault="00D40380" w:rsidP="00A709F8">
            <w:pPr>
              <w:contextualSpacing/>
              <w:rPr>
                <w:b/>
              </w:rPr>
            </w:pPr>
            <w:r w:rsidRPr="00E5716D">
              <w:rPr>
                <w:b/>
              </w:rPr>
              <w:t>Uitreiking door</w:t>
            </w:r>
          </w:p>
        </w:tc>
      </w:tr>
      <w:tr w:rsidR="00D40380" w:rsidRPr="00E5716D" w:rsidTr="00A709F8">
        <w:tc>
          <w:tcPr>
            <w:tcW w:w="9288" w:type="dxa"/>
            <w:gridSpan w:val="4"/>
          </w:tcPr>
          <w:p w:rsidR="00D40380" w:rsidRPr="00E5716D" w:rsidRDefault="00D40380" w:rsidP="00A709F8">
            <w:pPr>
              <w:contextualSpacing/>
              <w:jc w:val="center"/>
              <w:rPr>
                <w:b/>
              </w:rPr>
            </w:pPr>
          </w:p>
          <w:p w:rsidR="00D40380" w:rsidRPr="00E5716D" w:rsidRDefault="00D40380" w:rsidP="00A709F8">
            <w:pPr>
              <w:contextualSpacing/>
              <w:jc w:val="center"/>
              <w:rPr>
                <w:b/>
              </w:rPr>
            </w:pPr>
            <w:r w:rsidRPr="00E5716D">
              <w:rPr>
                <w:b/>
              </w:rPr>
              <w:t>Clubjubileum</w:t>
            </w:r>
          </w:p>
          <w:p w:rsidR="00D40380" w:rsidRPr="00E5716D" w:rsidRDefault="00D40380" w:rsidP="00A709F8">
            <w:pPr>
              <w:contextualSpacing/>
              <w:jc w:val="center"/>
              <w:rPr>
                <w:b/>
              </w:rPr>
            </w:pPr>
          </w:p>
        </w:tc>
      </w:tr>
      <w:tr w:rsidR="00D40380" w:rsidRPr="00E5716D" w:rsidTr="00A709F8">
        <w:trPr>
          <w:trHeight w:val="1149"/>
        </w:trPr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25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>Max. € 150 van de kosten van een voor het publiek vrij toegankelijk evenement.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>Door club bij algemeen secretaris, met begr</w:t>
            </w:r>
            <w:r w:rsidRPr="00E5716D">
              <w:t>o</w:t>
            </w:r>
            <w:r w:rsidRPr="00E5716D">
              <w:t xml:space="preserve">ting kosten </w:t>
            </w:r>
            <w:r>
              <w:t>van het evenement.</w:t>
            </w:r>
          </w:p>
        </w:tc>
        <w:tc>
          <w:tcPr>
            <w:tcW w:w="1383" w:type="dxa"/>
            <w:vMerge w:val="restart"/>
          </w:tcPr>
          <w:p w:rsidR="00D40380" w:rsidRPr="00E5716D" w:rsidRDefault="00D40380" w:rsidP="00A709F8">
            <w:pPr>
              <w:contextualSpacing/>
            </w:pPr>
            <w:proofErr w:type="spellStart"/>
            <w:r w:rsidRPr="00E5716D">
              <w:t>Afdelings</w:t>
            </w:r>
            <w:r>
              <w:t>-</w:t>
            </w:r>
            <w:r w:rsidRPr="00E5716D">
              <w:t>bestuur</w:t>
            </w:r>
            <w:proofErr w:type="spellEnd"/>
          </w:p>
          <w:p w:rsidR="00D40380" w:rsidRPr="00E5716D" w:rsidRDefault="00D40380" w:rsidP="00A709F8">
            <w:pPr>
              <w:contextualSpacing/>
            </w:pP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50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Idem, </w:t>
            </w:r>
            <w:proofErr w:type="gramStart"/>
            <w:r w:rsidRPr="00E5716D">
              <w:t>max</w:t>
            </w:r>
            <w:proofErr w:type="gramEnd"/>
            <w:r w:rsidRPr="00E5716D">
              <w:t>. € 300.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/>
          </w:tcPr>
          <w:p w:rsidR="00D40380" w:rsidRPr="00E5716D" w:rsidRDefault="00D40380" w:rsidP="00A709F8">
            <w:pPr>
              <w:contextualSpacing/>
            </w:pPr>
          </w:p>
        </w:tc>
        <w:tc>
          <w:tcPr>
            <w:tcW w:w="1383" w:type="dxa"/>
            <w:vMerge/>
          </w:tcPr>
          <w:p w:rsidR="00D40380" w:rsidRPr="00E5716D" w:rsidRDefault="00D40380" w:rsidP="00A709F8">
            <w:pPr>
              <w:contextualSpacing/>
            </w:pP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75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Idem, </w:t>
            </w:r>
            <w:proofErr w:type="gramStart"/>
            <w:r w:rsidRPr="00E5716D">
              <w:t>max</w:t>
            </w:r>
            <w:proofErr w:type="gramEnd"/>
            <w:r w:rsidRPr="00E5716D">
              <w:t>. € 300.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/>
          </w:tcPr>
          <w:p w:rsidR="00D40380" w:rsidRPr="00E5716D" w:rsidRDefault="00D40380" w:rsidP="00A709F8">
            <w:pPr>
              <w:contextualSpacing/>
            </w:pPr>
          </w:p>
        </w:tc>
        <w:tc>
          <w:tcPr>
            <w:tcW w:w="1383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>Lid DB</w:t>
            </w: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>100</w:t>
            </w:r>
            <w:r>
              <w:t xml:space="preserve"> </w:t>
            </w:r>
            <w:proofErr w:type="spellStart"/>
            <w:r w:rsidRPr="00E5716D">
              <w:t>jr</w:t>
            </w:r>
            <w:proofErr w:type="spellEnd"/>
            <w:r w:rsidRPr="00E5716D">
              <w:t xml:space="preserve"> en hoger</w:t>
            </w:r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Idem, </w:t>
            </w:r>
            <w:proofErr w:type="gramStart"/>
            <w:r w:rsidRPr="00E5716D">
              <w:t>max</w:t>
            </w:r>
            <w:proofErr w:type="gramEnd"/>
            <w:r w:rsidRPr="00E5716D">
              <w:t>. € 400.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/>
          </w:tcPr>
          <w:p w:rsidR="00D40380" w:rsidRPr="00E5716D" w:rsidRDefault="00D40380" w:rsidP="00A709F8">
            <w:pPr>
              <w:contextualSpacing/>
            </w:pPr>
          </w:p>
        </w:tc>
        <w:tc>
          <w:tcPr>
            <w:tcW w:w="1383" w:type="dxa"/>
            <w:vMerge/>
          </w:tcPr>
          <w:p w:rsidR="00D40380" w:rsidRPr="00E5716D" w:rsidRDefault="00D40380" w:rsidP="00A709F8">
            <w:pPr>
              <w:contextualSpacing/>
            </w:pPr>
          </w:p>
        </w:tc>
      </w:tr>
      <w:tr w:rsidR="00D40380" w:rsidRPr="00E5716D" w:rsidTr="00A709F8">
        <w:tc>
          <w:tcPr>
            <w:tcW w:w="9288" w:type="dxa"/>
            <w:gridSpan w:val="4"/>
          </w:tcPr>
          <w:p w:rsidR="00D40380" w:rsidRPr="00E5716D" w:rsidRDefault="00D40380" w:rsidP="00A709F8">
            <w:pPr>
              <w:contextualSpacing/>
              <w:rPr>
                <w:b/>
              </w:rPr>
            </w:pPr>
          </w:p>
          <w:p w:rsidR="00D40380" w:rsidRPr="00E5716D" w:rsidRDefault="00D40380" w:rsidP="00A709F8">
            <w:pPr>
              <w:contextualSpacing/>
              <w:jc w:val="center"/>
              <w:rPr>
                <w:b/>
              </w:rPr>
            </w:pPr>
            <w:r w:rsidRPr="00E5716D">
              <w:rPr>
                <w:b/>
              </w:rPr>
              <w:t>Club- of Persoonlijk lidmaatschap</w:t>
            </w:r>
          </w:p>
          <w:p w:rsidR="00D40380" w:rsidRPr="00E5716D" w:rsidRDefault="00D40380" w:rsidP="00A709F8">
            <w:pPr>
              <w:contextualSpacing/>
              <w:jc w:val="center"/>
              <w:rPr>
                <w:b/>
              </w:rPr>
            </w:pP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25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>Oorkonde + insigne brons. De oorkonde wordt elektronisch toegestuurd. De oorkonde wordt afgedrukt conform de richtlijnen van het DB.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Door clubbestuur bij </w:t>
            </w:r>
            <w:r>
              <w:t>de Algemeen Secret</w:t>
            </w:r>
            <w:r>
              <w:t>a</w:t>
            </w:r>
            <w:r>
              <w:t>ris.</w:t>
            </w:r>
          </w:p>
        </w:tc>
        <w:tc>
          <w:tcPr>
            <w:tcW w:w="1383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>Afdelingsb</w:t>
            </w:r>
            <w:r w:rsidRPr="00E5716D">
              <w:t>e</w:t>
            </w:r>
            <w:r w:rsidRPr="00E5716D">
              <w:t>stuur</w:t>
            </w: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40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>Idem, insigne zilver.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/>
          </w:tcPr>
          <w:p w:rsidR="00D40380" w:rsidRPr="00E5716D" w:rsidRDefault="00D40380" w:rsidP="00A709F8">
            <w:pPr>
              <w:contextualSpacing/>
            </w:pPr>
          </w:p>
        </w:tc>
        <w:tc>
          <w:tcPr>
            <w:tcW w:w="1383" w:type="dxa"/>
            <w:vMerge/>
          </w:tcPr>
          <w:p w:rsidR="00D40380" w:rsidRPr="00E5716D" w:rsidRDefault="00D40380" w:rsidP="00A709F8">
            <w:pPr>
              <w:contextualSpacing/>
            </w:pP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50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Oorkonde (door het DB </w:t>
            </w:r>
            <w:proofErr w:type="gramStart"/>
            <w:r w:rsidRPr="00E5716D">
              <w:t>vervaardigd</w:t>
            </w:r>
            <w:proofErr w:type="gramEnd"/>
            <w:r w:rsidRPr="00E5716D">
              <w:t>) + insigne goud.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Idem, doorgezonden naar </w:t>
            </w:r>
            <w:r>
              <w:t xml:space="preserve">het </w:t>
            </w:r>
            <w:r w:rsidRPr="00E5716D">
              <w:t>DB</w:t>
            </w:r>
            <w:r>
              <w:t>.</w:t>
            </w:r>
          </w:p>
        </w:tc>
        <w:tc>
          <w:tcPr>
            <w:tcW w:w="1383" w:type="dxa"/>
            <w:vMerge w:val="restart"/>
          </w:tcPr>
          <w:p w:rsidR="00D40380" w:rsidRPr="00E5716D" w:rsidRDefault="00D40380" w:rsidP="00A709F8">
            <w:pPr>
              <w:contextualSpacing/>
            </w:pPr>
            <w:r w:rsidRPr="00E5716D">
              <w:t>DB of iemand namens DB</w:t>
            </w:r>
          </w:p>
        </w:tc>
      </w:tr>
      <w:tr w:rsidR="00D40380" w:rsidRPr="00E5716D" w:rsidTr="00A709F8">
        <w:tc>
          <w:tcPr>
            <w:tcW w:w="1668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55 / 60 etc. </w:t>
            </w:r>
            <w:proofErr w:type="spellStart"/>
            <w:r w:rsidRPr="00E5716D">
              <w:t>jr</w:t>
            </w:r>
            <w:proofErr w:type="spellEnd"/>
          </w:p>
        </w:tc>
        <w:tc>
          <w:tcPr>
            <w:tcW w:w="4110" w:type="dxa"/>
          </w:tcPr>
          <w:p w:rsidR="00D40380" w:rsidRPr="00E5716D" w:rsidRDefault="00D40380" w:rsidP="00A709F8">
            <w:pPr>
              <w:contextualSpacing/>
            </w:pPr>
            <w:r w:rsidRPr="00E5716D">
              <w:t xml:space="preserve">Oorkonde (door het DB </w:t>
            </w:r>
            <w:proofErr w:type="gramStart"/>
            <w:r w:rsidRPr="00E5716D">
              <w:t>vervaardigd</w:t>
            </w:r>
            <w:proofErr w:type="gramEnd"/>
            <w:r w:rsidRPr="00E5716D">
              <w:t>).</w:t>
            </w:r>
          </w:p>
          <w:p w:rsidR="00D40380" w:rsidRPr="00E5716D" w:rsidRDefault="00D40380" w:rsidP="00A709F8">
            <w:pPr>
              <w:contextualSpacing/>
            </w:pPr>
          </w:p>
        </w:tc>
        <w:tc>
          <w:tcPr>
            <w:tcW w:w="2127" w:type="dxa"/>
            <w:vMerge/>
          </w:tcPr>
          <w:p w:rsidR="00D40380" w:rsidRPr="00E5716D" w:rsidRDefault="00D40380" w:rsidP="00A709F8">
            <w:pPr>
              <w:contextualSpacing/>
            </w:pPr>
          </w:p>
        </w:tc>
        <w:tc>
          <w:tcPr>
            <w:tcW w:w="1383" w:type="dxa"/>
            <w:vMerge/>
          </w:tcPr>
          <w:p w:rsidR="00D40380" w:rsidRPr="00E5716D" w:rsidRDefault="00D40380" w:rsidP="00A709F8">
            <w:pPr>
              <w:contextualSpacing/>
            </w:pPr>
          </w:p>
        </w:tc>
      </w:tr>
      <w:tr w:rsidR="00D40380" w:rsidRPr="00E5716D" w:rsidTr="00A709F8">
        <w:tc>
          <w:tcPr>
            <w:tcW w:w="9288" w:type="dxa"/>
            <w:gridSpan w:val="4"/>
          </w:tcPr>
          <w:p w:rsidR="00D40380" w:rsidRPr="00E5716D" w:rsidRDefault="00D40380" w:rsidP="00A709F8">
            <w:pPr>
              <w:contextualSpacing/>
            </w:pPr>
          </w:p>
          <w:p w:rsidR="00D40380" w:rsidRPr="00E5716D" w:rsidRDefault="00D40380" w:rsidP="00A709F8">
            <w:pPr>
              <w:contextualSpacing/>
            </w:pPr>
            <w:r w:rsidRPr="00E5716D">
              <w:t xml:space="preserve">In gevallen waarin dit reglement niet voorziet beslist het DB. </w:t>
            </w:r>
          </w:p>
          <w:p w:rsidR="00D40380" w:rsidRPr="00E5716D" w:rsidRDefault="00D40380" w:rsidP="00A709F8">
            <w:pPr>
              <w:contextualSpacing/>
            </w:pPr>
          </w:p>
        </w:tc>
      </w:tr>
    </w:tbl>
    <w:p w:rsidR="00D40380" w:rsidRPr="00E5716D" w:rsidRDefault="00D40380" w:rsidP="00D40380">
      <w:pPr>
        <w:contextualSpacing/>
        <w:rPr>
          <w:rFonts w:eastAsia="Calibri"/>
        </w:rPr>
      </w:pPr>
    </w:p>
    <w:sectPr w:rsidR="00D40380" w:rsidRPr="00E5716D" w:rsidSect="00AC45A5">
      <w:headerReference w:type="default" r:id="rId10"/>
      <w:footerReference w:type="default" r:id="rId11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A1" w:rsidRDefault="001F52A1" w:rsidP="00DA7BD5">
      <w:pPr>
        <w:spacing w:after="0"/>
      </w:pPr>
      <w:r>
        <w:separator/>
      </w:r>
    </w:p>
  </w:endnote>
  <w:endnote w:type="continuationSeparator" w:id="0">
    <w:p w:rsidR="001F52A1" w:rsidRDefault="001F52A1" w:rsidP="00DA7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A5" w:rsidRPr="00AC45A5" w:rsidRDefault="00AC45A5" w:rsidP="00AC45A5">
    <w:pPr>
      <w:pStyle w:val="Voettekst"/>
      <w:pBdr>
        <w:top w:val="single" w:sz="4" w:space="1" w:color="8DB3E2" w:themeColor="text2" w:themeTint="66"/>
      </w:pBdr>
      <w:rPr>
        <w:rFonts w:ascii="Verdana" w:hAnsi="Verdana"/>
        <w:sz w:val="16"/>
        <w:szCs w:val="16"/>
      </w:rPr>
    </w:pPr>
    <w:r w:rsidRPr="00AC45A5">
      <w:rPr>
        <w:rFonts w:ascii="Verdana" w:hAnsi="Verdana"/>
        <w:sz w:val="16"/>
        <w:szCs w:val="16"/>
      </w:rPr>
      <w:fldChar w:fldCharType="begin"/>
    </w:r>
    <w:r w:rsidRPr="00AC45A5">
      <w:rPr>
        <w:rFonts w:ascii="Verdana" w:hAnsi="Verdana"/>
        <w:sz w:val="16"/>
        <w:szCs w:val="16"/>
      </w:rPr>
      <w:instrText xml:space="preserve"> FILENAME   \* MERGEFORMAT </w:instrText>
    </w:r>
    <w:r w:rsidRPr="00AC45A5">
      <w:rPr>
        <w:rFonts w:ascii="Verdana" w:hAnsi="Verdana"/>
        <w:sz w:val="16"/>
        <w:szCs w:val="16"/>
      </w:rPr>
      <w:fldChar w:fldCharType="separate"/>
    </w:r>
    <w:r w:rsidR="00AD5F10">
      <w:rPr>
        <w:rFonts w:ascii="Verdana" w:hAnsi="Verdana"/>
        <w:noProof/>
        <w:sz w:val="16"/>
        <w:szCs w:val="16"/>
      </w:rPr>
      <w:t>Reglement Jubilea Versie 2019-01-28.docx</w:t>
    </w:r>
    <w:r w:rsidRPr="00AC45A5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AD5F10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A1" w:rsidRDefault="001F52A1" w:rsidP="00DA7BD5">
      <w:pPr>
        <w:spacing w:after="0"/>
      </w:pPr>
      <w:r>
        <w:separator/>
      </w:r>
    </w:p>
  </w:footnote>
  <w:footnote w:type="continuationSeparator" w:id="0">
    <w:p w:rsidR="001F52A1" w:rsidRDefault="001F52A1" w:rsidP="00DA7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5" w:rsidRPr="00AC45A5" w:rsidRDefault="00DA7BD5" w:rsidP="00AC45A5">
    <w:pPr>
      <w:contextualSpacing/>
      <w:rPr>
        <w:rFonts w:ascii="Verdana" w:hAnsi="Verdana"/>
        <w:b/>
        <w:bCs/>
        <w:sz w:val="28"/>
        <w:szCs w:val="28"/>
      </w:rPr>
    </w:pPr>
    <w:r w:rsidRPr="00DA7BD5">
      <w:rPr>
        <w:rFonts w:ascii="Verdana" w:hAnsi="Verdana"/>
        <w:b/>
        <w:bCs/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439FED57" wp14:editId="6960E8BC">
          <wp:simplePos x="0" y="0"/>
          <wp:positionH relativeFrom="column">
            <wp:posOffset>3648075</wp:posOffset>
          </wp:positionH>
          <wp:positionV relativeFrom="paragraph">
            <wp:posOffset>-247650</wp:posOffset>
          </wp:positionV>
          <wp:extent cx="2160905" cy="6489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7BD5">
      <w:rPr>
        <w:rFonts w:ascii="Verdana" w:hAnsi="Verdana"/>
        <w:b/>
        <w:bCs/>
        <w:sz w:val="28"/>
        <w:szCs w:val="28"/>
      </w:rPr>
      <w:t>Reglement Jubilea</w:t>
    </w:r>
  </w:p>
  <w:p w:rsidR="00DA7BD5" w:rsidRPr="00AC45A5" w:rsidRDefault="00DA7BD5" w:rsidP="00AC45A5">
    <w:pPr>
      <w:pStyle w:val="Koptekst"/>
      <w:pBdr>
        <w:bottom w:val="single" w:sz="4" w:space="1" w:color="548DD4" w:themeColor="text2" w:themeTint="99"/>
      </w:pBdr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0"/>
    <w:multiLevelType w:val="hybridMultilevel"/>
    <w:tmpl w:val="5E0095EC"/>
    <w:lvl w:ilvl="0" w:tplc="F0E8AA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70AE4"/>
    <w:multiLevelType w:val="hybridMultilevel"/>
    <w:tmpl w:val="FAA068A8"/>
    <w:lvl w:ilvl="0" w:tplc="66A08AF4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B67"/>
    <w:multiLevelType w:val="hybridMultilevel"/>
    <w:tmpl w:val="53FA2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1FAA2852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CC3"/>
    <w:multiLevelType w:val="hybridMultilevel"/>
    <w:tmpl w:val="693C7EB6"/>
    <w:lvl w:ilvl="0" w:tplc="86586B5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74"/>
    <w:rsid w:val="00002FDE"/>
    <w:rsid w:val="000C5937"/>
    <w:rsid w:val="00113D8D"/>
    <w:rsid w:val="00123825"/>
    <w:rsid w:val="00196CFA"/>
    <w:rsid w:val="001F52A1"/>
    <w:rsid w:val="0023017C"/>
    <w:rsid w:val="00320586"/>
    <w:rsid w:val="0037087C"/>
    <w:rsid w:val="00373819"/>
    <w:rsid w:val="00403B34"/>
    <w:rsid w:val="00424170"/>
    <w:rsid w:val="00492026"/>
    <w:rsid w:val="00495E72"/>
    <w:rsid w:val="004D48B4"/>
    <w:rsid w:val="00581BE0"/>
    <w:rsid w:val="006E157A"/>
    <w:rsid w:val="006F66EF"/>
    <w:rsid w:val="00782251"/>
    <w:rsid w:val="007B6EE6"/>
    <w:rsid w:val="007C15F8"/>
    <w:rsid w:val="007E71B4"/>
    <w:rsid w:val="00A17254"/>
    <w:rsid w:val="00A37B07"/>
    <w:rsid w:val="00A40610"/>
    <w:rsid w:val="00AB465E"/>
    <w:rsid w:val="00AC45A5"/>
    <w:rsid w:val="00AD1837"/>
    <w:rsid w:val="00AD3DE0"/>
    <w:rsid w:val="00AD5F10"/>
    <w:rsid w:val="00B023E3"/>
    <w:rsid w:val="00B26C7B"/>
    <w:rsid w:val="00B54016"/>
    <w:rsid w:val="00B766CB"/>
    <w:rsid w:val="00CB39A2"/>
    <w:rsid w:val="00D40380"/>
    <w:rsid w:val="00DA7BD5"/>
    <w:rsid w:val="00E56174"/>
    <w:rsid w:val="00EA35AC"/>
    <w:rsid w:val="00F27776"/>
    <w:rsid w:val="00F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uiPriority="99" w:qFormat="1"/>
    <w:lsdException w:name="Default Paragraph Font" w:semiHidden="1" w:uiPriority="1" w:unhideWhenUsed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No Spacing" w:qFormat="1"/>
    <w:lsdException w:name="Medium Grid 2" w:uiPriority="68"/>
    <w:lsdException w:name="Revision" w:semiHidden="1" w:uiPriority="99"/>
    <w:lsdException w:name="List Paragraph" w:qFormat="1"/>
    <w:lsdException w:name="Quote" w:qFormat="1"/>
    <w:lsdException w:name="Intense Quote" w:qFormat="1"/>
    <w:lsdException w:name="Colorful List Accent 1" w:uiPriority="72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320586"/>
  </w:style>
  <w:style w:type="paragraph" w:styleId="Kop1">
    <w:name w:val="heading 1"/>
    <w:basedOn w:val="Standaard"/>
    <w:next w:val="Standaard"/>
    <w:link w:val="Kop1Char"/>
    <w:uiPriority w:val="99"/>
    <w:qFormat/>
    <w:rsid w:val="003205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3205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spacing0">
    <w:name w:val="msonospacing"/>
    <w:basedOn w:val="Standaard"/>
    <w:uiPriority w:val="99"/>
    <w:rsid w:val="00320586"/>
    <w:rPr>
      <w:rFonts w:eastAsia="Times New Roman"/>
    </w:rPr>
  </w:style>
  <w:style w:type="character" w:customStyle="1" w:styleId="Kop1Char">
    <w:name w:val="Kop 1 Char"/>
    <w:link w:val="Kop1"/>
    <w:uiPriority w:val="99"/>
    <w:rsid w:val="00320586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link w:val="Kop2"/>
    <w:uiPriority w:val="99"/>
    <w:rsid w:val="00320586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rsid w:val="00320586"/>
    <w:rPr>
      <w:rFonts w:eastAsia="Times New Roman"/>
    </w:rPr>
  </w:style>
  <w:style w:type="character" w:customStyle="1" w:styleId="VoetnoottekstChar">
    <w:name w:val="Voetnoottekst Char"/>
    <w:link w:val="Voetnoottekst"/>
    <w:rsid w:val="00320586"/>
    <w:rPr>
      <w:rFonts w:ascii="Calibri" w:eastAsia="Times New Roman" w:hAnsi="Calibri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32058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link w:val="Koptekst"/>
    <w:uiPriority w:val="99"/>
    <w:rsid w:val="0032058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320586"/>
    <w:pPr>
      <w:tabs>
        <w:tab w:val="center" w:pos="4536"/>
        <w:tab w:val="right" w:pos="9072"/>
      </w:tabs>
    </w:pPr>
    <w:rPr>
      <w:rFonts w:eastAsia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20586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rsid w:val="00320586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99"/>
    <w:qFormat/>
    <w:rsid w:val="0032058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link w:val="Titel"/>
    <w:uiPriority w:val="99"/>
    <w:rsid w:val="003205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3205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l-NL"/>
    </w:rPr>
  </w:style>
  <w:style w:type="character" w:customStyle="1" w:styleId="OndertitelChar">
    <w:name w:val="Ondertitel Char"/>
    <w:link w:val="Ondertitel"/>
    <w:uiPriority w:val="99"/>
    <w:rsid w:val="00320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320586"/>
    <w:pPr>
      <w:spacing w:beforeLines="1" w:afterLines="1"/>
    </w:pPr>
    <w:rPr>
      <w:rFonts w:ascii="Times" w:eastAsia="Times New Roman" w:hAnsi="Times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20586"/>
    <w:rPr>
      <w:rFonts w:ascii="Tahoma" w:eastAsia="Times New Roman" w:hAnsi="Tahoma"/>
      <w:sz w:val="16"/>
      <w:szCs w:val="16"/>
      <w:lang w:eastAsia="nl-NL"/>
    </w:rPr>
  </w:style>
  <w:style w:type="character" w:customStyle="1" w:styleId="BallontekstChar">
    <w:name w:val="Ballontekst Char"/>
    <w:link w:val="Ballontekst"/>
    <w:uiPriority w:val="99"/>
    <w:semiHidden/>
    <w:rsid w:val="00320586"/>
    <w:rPr>
      <w:rFonts w:ascii="Tahoma" w:eastAsia="Times New Roman" w:hAnsi="Tahoma" w:cs="Times New Roman"/>
      <w:sz w:val="16"/>
      <w:szCs w:val="16"/>
      <w:lang w:eastAsia="nl-NL"/>
    </w:rPr>
  </w:style>
  <w:style w:type="table" w:styleId="Tabelraster">
    <w:name w:val="Table Grid"/>
    <w:basedOn w:val="Standaardtabel"/>
    <w:rsid w:val="00320586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E5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uiPriority="99" w:qFormat="1"/>
    <w:lsdException w:name="Default Paragraph Font" w:semiHidden="1" w:uiPriority="1" w:unhideWhenUsed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No Spacing" w:qFormat="1"/>
    <w:lsdException w:name="Medium Grid 2" w:uiPriority="68"/>
    <w:lsdException w:name="Revision" w:semiHidden="1" w:uiPriority="99"/>
    <w:lsdException w:name="List Paragraph" w:qFormat="1"/>
    <w:lsdException w:name="Quote" w:qFormat="1"/>
    <w:lsdException w:name="Intense Quote" w:qFormat="1"/>
    <w:lsdException w:name="Colorful List Accent 1" w:uiPriority="72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320586"/>
  </w:style>
  <w:style w:type="paragraph" w:styleId="Kop1">
    <w:name w:val="heading 1"/>
    <w:basedOn w:val="Standaard"/>
    <w:next w:val="Standaard"/>
    <w:link w:val="Kop1Char"/>
    <w:uiPriority w:val="99"/>
    <w:qFormat/>
    <w:rsid w:val="003205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3205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spacing0">
    <w:name w:val="msonospacing"/>
    <w:basedOn w:val="Standaard"/>
    <w:uiPriority w:val="99"/>
    <w:rsid w:val="00320586"/>
    <w:rPr>
      <w:rFonts w:eastAsia="Times New Roman"/>
    </w:rPr>
  </w:style>
  <w:style w:type="character" w:customStyle="1" w:styleId="Kop1Char">
    <w:name w:val="Kop 1 Char"/>
    <w:link w:val="Kop1"/>
    <w:uiPriority w:val="99"/>
    <w:rsid w:val="00320586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link w:val="Kop2"/>
    <w:uiPriority w:val="99"/>
    <w:rsid w:val="00320586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rsid w:val="00320586"/>
    <w:rPr>
      <w:rFonts w:eastAsia="Times New Roman"/>
    </w:rPr>
  </w:style>
  <w:style w:type="character" w:customStyle="1" w:styleId="VoetnoottekstChar">
    <w:name w:val="Voetnoottekst Char"/>
    <w:link w:val="Voetnoottekst"/>
    <w:rsid w:val="00320586"/>
    <w:rPr>
      <w:rFonts w:ascii="Calibri" w:eastAsia="Times New Roman" w:hAnsi="Calibri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32058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link w:val="Koptekst"/>
    <w:uiPriority w:val="99"/>
    <w:rsid w:val="0032058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320586"/>
    <w:pPr>
      <w:tabs>
        <w:tab w:val="center" w:pos="4536"/>
        <w:tab w:val="right" w:pos="9072"/>
      </w:tabs>
    </w:pPr>
    <w:rPr>
      <w:rFonts w:eastAsia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20586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rsid w:val="00320586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99"/>
    <w:qFormat/>
    <w:rsid w:val="0032058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link w:val="Titel"/>
    <w:uiPriority w:val="99"/>
    <w:rsid w:val="003205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3205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l-NL"/>
    </w:rPr>
  </w:style>
  <w:style w:type="character" w:customStyle="1" w:styleId="OndertitelChar">
    <w:name w:val="Ondertitel Char"/>
    <w:link w:val="Ondertitel"/>
    <w:uiPriority w:val="99"/>
    <w:rsid w:val="00320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320586"/>
    <w:pPr>
      <w:spacing w:beforeLines="1" w:afterLines="1"/>
    </w:pPr>
    <w:rPr>
      <w:rFonts w:ascii="Times" w:eastAsia="Times New Roman" w:hAnsi="Times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20586"/>
    <w:rPr>
      <w:rFonts w:ascii="Tahoma" w:eastAsia="Times New Roman" w:hAnsi="Tahoma"/>
      <w:sz w:val="16"/>
      <w:szCs w:val="16"/>
      <w:lang w:eastAsia="nl-NL"/>
    </w:rPr>
  </w:style>
  <w:style w:type="character" w:customStyle="1" w:styleId="BallontekstChar">
    <w:name w:val="Ballontekst Char"/>
    <w:link w:val="Ballontekst"/>
    <w:uiPriority w:val="99"/>
    <w:semiHidden/>
    <w:rsid w:val="00320586"/>
    <w:rPr>
      <w:rFonts w:ascii="Tahoma" w:eastAsia="Times New Roman" w:hAnsi="Tahoma" w:cs="Times New Roman"/>
      <w:sz w:val="16"/>
      <w:szCs w:val="16"/>
      <w:lang w:eastAsia="nl-NL"/>
    </w:rPr>
  </w:style>
  <w:style w:type="table" w:styleId="Tabelraster">
    <w:name w:val="Table Grid"/>
    <w:basedOn w:val="Standaardtabel"/>
    <w:rsid w:val="00320586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E5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4117-D47E-4ACA-B009-073DDEC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Oege Lam</dc:creator>
  <cp:lastModifiedBy>André van Hooidonk</cp:lastModifiedBy>
  <cp:revision>4</cp:revision>
  <cp:lastPrinted>2017-10-30T20:55:00Z</cp:lastPrinted>
  <dcterms:created xsi:type="dcterms:W3CDTF">2019-01-28T11:30:00Z</dcterms:created>
  <dcterms:modified xsi:type="dcterms:W3CDTF">2019-07-02T10:23:00Z</dcterms:modified>
</cp:coreProperties>
</file>